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F2F5" w14:textId="77777777" w:rsidR="00153023" w:rsidRDefault="00153023" w:rsidP="00153023">
      <w:pPr>
        <w:rPr>
          <w:sz w:val="36"/>
          <w:szCs w:val="36"/>
        </w:rPr>
      </w:pPr>
      <w:r>
        <w:rPr>
          <w:noProof/>
          <w:sz w:val="36"/>
          <w:szCs w:val="36"/>
        </w:rPr>
        <w:drawing>
          <wp:inline distT="0" distB="0" distL="0" distR="0" wp14:anchorId="504591FF" wp14:editId="61DA4A97">
            <wp:extent cx="1828799" cy="1371600"/>
            <wp:effectExtent l="0" t="0" r="635" b="0"/>
            <wp:docPr id="92929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018" name="Picture 929290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4742" cy="1391057"/>
                    </a:xfrm>
                    <a:prstGeom prst="rect">
                      <a:avLst/>
                    </a:prstGeom>
                  </pic:spPr>
                </pic:pic>
              </a:graphicData>
            </a:graphic>
          </wp:inline>
        </w:drawing>
      </w:r>
    </w:p>
    <w:p w14:paraId="52A71A83" w14:textId="17A26CC3" w:rsidR="000E76BB" w:rsidRPr="000E76BB" w:rsidRDefault="000E76BB" w:rsidP="00153023">
      <w:pPr>
        <w:rPr>
          <w:sz w:val="56"/>
          <w:szCs w:val="56"/>
        </w:rPr>
      </w:pPr>
      <w:r w:rsidRPr="000E76BB">
        <w:rPr>
          <w:sz w:val="56"/>
          <w:szCs w:val="56"/>
        </w:rPr>
        <w:t>Submission to The Australian Government into the implications of delay in implementing the Support at Home Care Additional Packages</w:t>
      </w:r>
    </w:p>
    <w:p w14:paraId="12E9190E" w14:textId="7E6DBAE0" w:rsidR="00153023" w:rsidRPr="00137F32" w:rsidRDefault="00153023" w:rsidP="00153023">
      <w:pPr>
        <w:rPr>
          <w:sz w:val="36"/>
          <w:szCs w:val="36"/>
        </w:rPr>
      </w:pPr>
      <w:r w:rsidRPr="00137F32">
        <w:rPr>
          <w:sz w:val="36"/>
          <w:szCs w:val="36"/>
        </w:rPr>
        <w:t>Terms of Reference</w:t>
      </w:r>
      <w:r>
        <w:rPr>
          <w:sz w:val="36"/>
          <w:szCs w:val="36"/>
        </w:rPr>
        <w:t>:</w:t>
      </w:r>
    </w:p>
    <w:p w14:paraId="1372E443" w14:textId="77777777" w:rsidR="00153023" w:rsidRPr="00137F32" w:rsidRDefault="00153023" w:rsidP="00153023">
      <w:r w:rsidRPr="00137F32">
        <w:t xml:space="preserve">The implications for older Australians, their families, carers, service providers and state and territory health systems of the Government’s decision to delay the commencement of the new Support at Home program until 1 November 2025 while also withholding the release of any additional Home Care Packages, with </w:t>
      </w:r>
      <w:proofErr w:type="gramStart"/>
      <w:r w:rsidRPr="00137F32">
        <w:t>particular reference</w:t>
      </w:r>
      <w:proofErr w:type="gramEnd"/>
      <w:r w:rsidRPr="00137F32">
        <w:t xml:space="preserve"> to:</w:t>
      </w:r>
    </w:p>
    <w:p w14:paraId="39AB9E54" w14:textId="77777777" w:rsidR="00153023" w:rsidRPr="00137F32" w:rsidRDefault="00153023" w:rsidP="00153023">
      <w:pPr>
        <w:numPr>
          <w:ilvl w:val="0"/>
          <w:numId w:val="9"/>
        </w:numPr>
      </w:pPr>
      <w:r w:rsidRPr="00137F32">
        <w:t xml:space="preserve">the impact of the delay on older Australians waiting for support at home, including unmet care needs and the wellbeing of seniors and their </w:t>
      </w:r>
      <w:proofErr w:type="gramStart"/>
      <w:r w:rsidRPr="00137F32">
        <w:t>carers;</w:t>
      </w:r>
      <w:proofErr w:type="gramEnd"/>
    </w:p>
    <w:p w14:paraId="07E5DB01" w14:textId="77777777" w:rsidR="00153023" w:rsidRPr="00137F32" w:rsidRDefault="00153023" w:rsidP="00153023">
      <w:pPr>
        <w:numPr>
          <w:ilvl w:val="0"/>
          <w:numId w:val="9"/>
        </w:numPr>
      </w:pPr>
      <w:r w:rsidRPr="00137F32">
        <w:t xml:space="preserve">the capacity of the Commonwealth Home Support Programme to meet increased demand for support at home prior to 1 November </w:t>
      </w:r>
      <w:proofErr w:type="gramStart"/>
      <w:r w:rsidRPr="00137F32">
        <w:t>2025;</w:t>
      </w:r>
      <w:proofErr w:type="gramEnd"/>
    </w:p>
    <w:p w14:paraId="180F6AB7" w14:textId="77777777" w:rsidR="00153023" w:rsidRPr="00137F32" w:rsidRDefault="00153023" w:rsidP="00153023">
      <w:pPr>
        <w:numPr>
          <w:ilvl w:val="0"/>
          <w:numId w:val="9"/>
        </w:numPr>
      </w:pPr>
      <w:r w:rsidRPr="00137F32">
        <w:t xml:space="preserve">the impacts on aged care service providers, including on their </w:t>
      </w:r>
      <w:proofErr w:type="gramStart"/>
      <w:r w:rsidRPr="00137F32">
        <w:t>workforce;</w:t>
      </w:r>
      <w:proofErr w:type="gramEnd"/>
    </w:p>
    <w:p w14:paraId="227DAE8C" w14:textId="77777777" w:rsidR="00153023" w:rsidRPr="00137F32" w:rsidRDefault="00153023" w:rsidP="00153023">
      <w:pPr>
        <w:numPr>
          <w:ilvl w:val="0"/>
          <w:numId w:val="9"/>
        </w:numPr>
      </w:pPr>
      <w:r w:rsidRPr="00137F32">
        <w:t xml:space="preserve">the impacts on hospitals and state and territory health </w:t>
      </w:r>
      <w:proofErr w:type="gramStart"/>
      <w:r w:rsidRPr="00137F32">
        <w:t>systems;</w:t>
      </w:r>
      <w:proofErr w:type="gramEnd"/>
    </w:p>
    <w:p w14:paraId="4A9DEFF3" w14:textId="77777777" w:rsidR="00153023" w:rsidRPr="00137F32" w:rsidRDefault="00153023" w:rsidP="00153023">
      <w:pPr>
        <w:numPr>
          <w:ilvl w:val="0"/>
          <w:numId w:val="9"/>
        </w:numPr>
      </w:pPr>
      <w:r w:rsidRPr="00137F32">
        <w:t xml:space="preserve">the feasibility of achieving the Government’s target to reduce waiting times for Home Care Packages to 3 months by 1 July 2027, </w:t>
      </w:r>
      <w:proofErr w:type="gramStart"/>
      <w:r w:rsidRPr="00137F32">
        <w:t>in light of</w:t>
      </w:r>
      <w:proofErr w:type="gramEnd"/>
      <w:r w:rsidRPr="00137F32">
        <w:t xml:space="preserve"> the </w:t>
      </w:r>
      <w:proofErr w:type="gramStart"/>
      <w:r w:rsidRPr="00137F32">
        <w:t>delay;</w:t>
      </w:r>
      <w:proofErr w:type="gramEnd"/>
    </w:p>
    <w:p w14:paraId="280B14DF" w14:textId="77777777" w:rsidR="00153023" w:rsidRPr="00137F32" w:rsidRDefault="00153023" w:rsidP="00153023">
      <w:pPr>
        <w:numPr>
          <w:ilvl w:val="0"/>
          <w:numId w:val="9"/>
        </w:numPr>
      </w:pPr>
      <w:r w:rsidRPr="00137F32">
        <w:t xml:space="preserve">the adequacy of the governance, assurance and accountability frameworks supporting the digital transformation projects required to deliver the aged care reforms on </w:t>
      </w:r>
      <w:proofErr w:type="gramStart"/>
      <w:r w:rsidRPr="00137F32">
        <w:t>time;</w:t>
      </w:r>
      <w:proofErr w:type="gramEnd"/>
    </w:p>
    <w:p w14:paraId="4C2C6F73" w14:textId="77777777" w:rsidR="00153023" w:rsidRPr="00137F32" w:rsidRDefault="00153023" w:rsidP="00153023">
      <w:pPr>
        <w:numPr>
          <w:ilvl w:val="0"/>
          <w:numId w:val="9"/>
        </w:numPr>
      </w:pPr>
      <w:r w:rsidRPr="00137F32">
        <w:t>the implementation of the single assessment system and its readiness to support people to access a timely assessment now and beyond 1 November 2025; and</w:t>
      </w:r>
    </w:p>
    <w:p w14:paraId="5FBC70B5" w14:textId="77777777" w:rsidR="00153023" w:rsidRDefault="00153023" w:rsidP="00153023">
      <w:pPr>
        <w:numPr>
          <w:ilvl w:val="0"/>
          <w:numId w:val="9"/>
        </w:numPr>
      </w:pPr>
      <w:r w:rsidRPr="00137F32">
        <w:t>any other related matters.</w:t>
      </w:r>
    </w:p>
    <w:p w14:paraId="5391940A" w14:textId="77777777" w:rsidR="00153023" w:rsidRDefault="00153023" w:rsidP="00153023">
      <w:pPr>
        <w:pStyle w:val="Title"/>
      </w:pPr>
    </w:p>
    <w:p w14:paraId="5DE37C81" w14:textId="39C8487C" w:rsidR="00153023" w:rsidRDefault="00153023" w:rsidP="00153023">
      <w:pPr>
        <w:pStyle w:val="Title"/>
      </w:pPr>
      <w:r>
        <w:lastRenderedPageBreak/>
        <w:t>Implications of the Delay to the Support at Home Program and Withholding of Additional Home Care Packages</w:t>
      </w:r>
    </w:p>
    <w:p w14:paraId="7C291C6A" w14:textId="77777777" w:rsidR="00153023" w:rsidRDefault="00153023" w:rsidP="00153023">
      <w:pPr>
        <w:pStyle w:val="Subtitle"/>
      </w:pPr>
      <w:r>
        <w:t>An Analysis of Impacts on Older Australians, Families, Carers, Service Providers, and State and Territory Health Systems</w:t>
      </w:r>
    </w:p>
    <w:p w14:paraId="137034B5" w14:textId="77777777" w:rsidR="00153023" w:rsidRDefault="00153023" w:rsidP="00153023">
      <w:pPr>
        <w:pStyle w:val="Heading1"/>
      </w:pPr>
      <w:r>
        <w:t>Introduction</w:t>
      </w:r>
    </w:p>
    <w:p w14:paraId="5B759D3B" w14:textId="77777777" w:rsidR="00153023" w:rsidRDefault="00153023" w:rsidP="00153023">
      <w:r w:rsidRPr="00153023">
        <w:t xml:space="preserve">The Australian Government's decision to postpone the commencement of the new Support at Home program until 1 November 2025, coupled with the withholding of any additional Home Care Packages, has significant ramifications for older Australians, their families, carers, service providers, and the broader health infrastructure. This document examines these implications with </w:t>
      </w:r>
      <w:proofErr w:type="gramStart"/>
      <w:r w:rsidRPr="00153023">
        <w:t>particular reference</w:t>
      </w:r>
      <w:proofErr w:type="gramEnd"/>
      <w:r w:rsidRPr="00153023">
        <w:t xml:space="preserve"> to unmet care needs, service pressures, workforce challenges, and governance, as outlined in the Terms of Reference.</w:t>
      </w:r>
    </w:p>
    <w:p w14:paraId="3973E1E1" w14:textId="77777777" w:rsidR="00153023" w:rsidRDefault="00153023" w:rsidP="00153023">
      <w:pPr>
        <w:pStyle w:val="Heading1"/>
      </w:pPr>
      <w:r>
        <w:t>1. Impact of the Delay on Older Australians Waiting for Support at Home</w:t>
      </w:r>
    </w:p>
    <w:p w14:paraId="1F6832BF" w14:textId="77777777" w:rsidR="00153023" w:rsidRDefault="00153023" w:rsidP="00153023">
      <w:r w:rsidRPr="00153023">
        <w:t>The delay in implementing the Support at Home program, accompanied by the decision not to release further Home Care Packages, poses substantial challenges for older Australians seeking to remain in their homes with appropriate support.</w:t>
      </w:r>
    </w:p>
    <w:p w14:paraId="2B7B6A4C" w14:textId="77777777" w:rsidR="00153023" w:rsidRDefault="00153023" w:rsidP="00153023">
      <w:pPr>
        <w:pStyle w:val="ListParagraph"/>
        <w:numPr>
          <w:ilvl w:val="0"/>
          <w:numId w:val="1"/>
        </w:numPr>
      </w:pPr>
      <w:r w:rsidRPr="00153023">
        <w:t>Unmet Care Needs: The waiting list for Home Care Packages is likely to grow, exacerbating unmet care needs among seniors. Many older Australians already experience extended wait times for appropriate home support, and the delay risks prolonging this situation. Without timely access to care, seniors may face increased risks of deterioration in health, functional decline, and loss of independence.</w:t>
      </w:r>
    </w:p>
    <w:p w14:paraId="4032C002" w14:textId="77777777" w:rsidR="00153023" w:rsidRDefault="00153023" w:rsidP="00153023">
      <w:pPr>
        <w:pStyle w:val="ListParagraph"/>
        <w:numPr>
          <w:ilvl w:val="0"/>
          <w:numId w:val="1"/>
        </w:numPr>
      </w:pPr>
      <w:r w:rsidRPr="00153023">
        <w:t xml:space="preserve">Wellbeing of Seniors and Carers: Older people and their informal carers—including family members—are likely to experience heightened stress, anxiety, and potential burnout. The absence of additional care packages means more families may be forced to provide support with inadequate resources, leading to strain on relationships and the mental health of both seniors and their </w:t>
      </w:r>
      <w:proofErr w:type="spellStart"/>
      <w:r w:rsidRPr="00153023">
        <w:t>carers</w:t>
      </w:r>
      <w:proofErr w:type="spellEnd"/>
      <w:r w:rsidRPr="00153023">
        <w:t>. Social isolation could also increase for those unable to access community or in-home supports.</w:t>
      </w:r>
    </w:p>
    <w:p w14:paraId="1000C638" w14:textId="77777777" w:rsidR="00153023" w:rsidRDefault="00153023" w:rsidP="00153023">
      <w:pPr>
        <w:pStyle w:val="Heading1"/>
      </w:pPr>
      <w:r>
        <w:t>2. Capacity of the Commonwealth Home Support Programme (CHSP) to Meet Increased Demand</w:t>
      </w:r>
    </w:p>
    <w:p w14:paraId="469965F7" w14:textId="77777777" w:rsidR="00153023" w:rsidRDefault="00153023" w:rsidP="00153023">
      <w:r w:rsidRPr="00153023">
        <w:t>With the delay of the new Support at Home program, the CHSP becomes the primary avenue for older Australians seeking support at home. This shift places considerable pressure on the CHSP's existing resources and operational framework.</w:t>
      </w:r>
    </w:p>
    <w:p w14:paraId="52B31550" w14:textId="77777777" w:rsidR="00153023" w:rsidRDefault="00153023" w:rsidP="00153023">
      <w:pPr>
        <w:pStyle w:val="ListParagraph"/>
        <w:numPr>
          <w:ilvl w:val="0"/>
          <w:numId w:val="2"/>
        </w:numPr>
      </w:pPr>
      <w:r w:rsidRPr="00153023">
        <w:lastRenderedPageBreak/>
        <w:t>Increased Demand: The CHSP will likely experience a surge in demand as people unable to access Home Care Packages turn to this program for basic supports. This increase may outstrip current funding and service capacity, resulting in rationing, waitlists, or reduced service quality.</w:t>
      </w:r>
    </w:p>
    <w:p w14:paraId="79605DB4" w14:textId="77777777" w:rsidR="00153023" w:rsidRDefault="00153023" w:rsidP="00153023">
      <w:pPr>
        <w:pStyle w:val="ListParagraph"/>
        <w:numPr>
          <w:ilvl w:val="0"/>
          <w:numId w:val="2"/>
        </w:numPr>
      </w:pPr>
      <w:r w:rsidRPr="00153023">
        <w:t>Service Gaps: The CHSP is designed as an entry-level support program and may not be equipped to meet the complex needs of individuals who would otherwise qualify for higher-level care packages. This gap could lead to inadequate support for vulnerable individuals, potentially resulting in adverse outcomes, such as unplanned hospitalisations or premature entry into residential care.</w:t>
      </w:r>
    </w:p>
    <w:p w14:paraId="43C1E83B" w14:textId="77777777" w:rsidR="00153023" w:rsidRDefault="00153023" w:rsidP="00153023">
      <w:pPr>
        <w:pStyle w:val="Heading1"/>
      </w:pPr>
      <w:r>
        <w:t>3. Impacts on Aged Care Service Providers, Including Workforce</w:t>
      </w:r>
    </w:p>
    <w:p w14:paraId="15CDE806" w14:textId="77777777" w:rsidR="00153023" w:rsidRDefault="00153023" w:rsidP="00153023">
      <w:r w:rsidRPr="00153023">
        <w:t>Aged care service providers are at the forefront of delivering support to older Australians. The delay and withholding of new packages present several operational and workforce challenges.</w:t>
      </w:r>
    </w:p>
    <w:p w14:paraId="2AE4F718" w14:textId="77777777" w:rsidR="00153023" w:rsidRDefault="00153023" w:rsidP="00153023">
      <w:pPr>
        <w:pStyle w:val="ListParagraph"/>
        <w:numPr>
          <w:ilvl w:val="0"/>
          <w:numId w:val="3"/>
        </w:numPr>
      </w:pPr>
      <w:r w:rsidRPr="00153023">
        <w:t>Workforce Stability: Uncertainty about future funding and client volumes can undermine providers’ ability to recruit and retain skilled staff. Providers may be reluctant to invest in workforce development or expand services when future demand and revenue streams are unclear.</w:t>
      </w:r>
    </w:p>
    <w:p w14:paraId="5E405E84" w14:textId="77777777" w:rsidR="00153023" w:rsidRDefault="00153023" w:rsidP="00153023">
      <w:pPr>
        <w:pStyle w:val="ListParagraph"/>
        <w:numPr>
          <w:ilvl w:val="0"/>
          <w:numId w:val="3"/>
        </w:numPr>
      </w:pPr>
      <w:r w:rsidRPr="00153023">
        <w:t>Financial Pressures: Without new packages, providers may face stagnating or reduced income, threatening their financial viability—particularly in regional and remote areas. This could lead to service reductions, closures, or consolidation, limiting consumer choice.</w:t>
      </w:r>
    </w:p>
    <w:p w14:paraId="6A5D1755" w14:textId="77777777" w:rsidR="00153023" w:rsidRDefault="00153023" w:rsidP="00153023">
      <w:pPr>
        <w:pStyle w:val="ListParagraph"/>
        <w:numPr>
          <w:ilvl w:val="0"/>
          <w:numId w:val="3"/>
        </w:numPr>
      </w:pPr>
      <w:r w:rsidRPr="00153023">
        <w:t>Staff Morale and Burnout: Increased demand on existing services without commensurate resources can lead to staff burnout, higher turnover, and reduced care quality. Providers may also struggle to meet regulatory and quality standards if resources are stretched thin.</w:t>
      </w:r>
    </w:p>
    <w:p w14:paraId="56706DA9" w14:textId="77777777" w:rsidR="00153023" w:rsidRDefault="00153023" w:rsidP="00153023">
      <w:pPr>
        <w:pStyle w:val="Heading1"/>
      </w:pPr>
      <w:r>
        <w:t>4. Impacts on Hospitals and State and Territory Health Systems</w:t>
      </w:r>
    </w:p>
    <w:p w14:paraId="1FA5C25F" w14:textId="77777777" w:rsidR="00153023" w:rsidRDefault="00153023" w:rsidP="00153023">
      <w:r w:rsidRPr="00153023">
        <w:t>The delay in expanding home care support has downstream effects on the entire health system, particularly hospitals and state and territory health services.</w:t>
      </w:r>
    </w:p>
    <w:p w14:paraId="0A65EDFF" w14:textId="77777777" w:rsidR="00153023" w:rsidRDefault="00153023" w:rsidP="00153023">
      <w:pPr>
        <w:pStyle w:val="ListParagraph"/>
        <w:numPr>
          <w:ilvl w:val="0"/>
          <w:numId w:val="4"/>
        </w:numPr>
      </w:pPr>
      <w:r w:rsidRPr="00153023">
        <w:t>Increased Hospital Admissions: Without adequate home-based support, some older Australians may experience health declines that necessitate hospital care. Delays in discharge may also occur if patients cannot access necessary services at home, contributing to hospital bed block and inefficiency.</w:t>
      </w:r>
    </w:p>
    <w:p w14:paraId="3E40755E" w14:textId="77777777" w:rsidR="00153023" w:rsidRDefault="00153023" w:rsidP="00153023">
      <w:pPr>
        <w:pStyle w:val="ListParagraph"/>
        <w:numPr>
          <w:ilvl w:val="0"/>
          <w:numId w:val="4"/>
        </w:numPr>
      </w:pPr>
      <w:r w:rsidRPr="00153023">
        <w:t>Pressure on Emergency Departments: Emergency departments may see increased presentations from older individuals whose health could have been managed in the community with appropriate supports. This trend places additional pressure on already overstretched acute care resources.</w:t>
      </w:r>
    </w:p>
    <w:p w14:paraId="6F9847D3" w14:textId="77777777" w:rsidR="00153023" w:rsidRDefault="00153023" w:rsidP="00153023">
      <w:pPr>
        <w:pStyle w:val="ListParagraph"/>
        <w:numPr>
          <w:ilvl w:val="0"/>
          <w:numId w:val="4"/>
        </w:numPr>
      </w:pPr>
      <w:r w:rsidRPr="00153023">
        <w:t xml:space="preserve">Demand for Subacute and Residential Care: Inadequate support at home can precipitate premature or avoidable transitions to residential aged care or subacute </w:t>
      </w:r>
      <w:r w:rsidRPr="00153023">
        <w:lastRenderedPageBreak/>
        <w:t>services, shifting the burden from Commonwealth to state-funded systems and increasing overall healthcare costs.</w:t>
      </w:r>
    </w:p>
    <w:p w14:paraId="778FD6E8" w14:textId="77777777" w:rsidR="00153023" w:rsidRDefault="00153023" w:rsidP="00153023">
      <w:pPr>
        <w:pStyle w:val="Heading1"/>
      </w:pPr>
      <w:r>
        <w:t>5. Feasibility of Achieving the Government’s Target to Reduce Waiting Times for Home Care Packages to 3 Months by 1 July 2027</w:t>
      </w:r>
    </w:p>
    <w:p w14:paraId="572584A3" w14:textId="77777777" w:rsidR="00153023" w:rsidRDefault="00153023" w:rsidP="00153023">
      <w:r w:rsidRPr="00153023">
        <w:t>The decision to delay the Support at Home program and limit the release of new packages directly challenges the feasibility of achieving the government’s target to reduce waiting times.</w:t>
      </w:r>
    </w:p>
    <w:p w14:paraId="430E2289" w14:textId="77777777" w:rsidR="00153023" w:rsidRDefault="00153023" w:rsidP="00153023">
      <w:pPr>
        <w:pStyle w:val="ListParagraph"/>
        <w:numPr>
          <w:ilvl w:val="0"/>
          <w:numId w:val="5"/>
        </w:numPr>
      </w:pPr>
      <w:r w:rsidRPr="00153023">
        <w:t>Growing Wait List: The current backlog is likely to increase without the provision of additional packages, making it more difficult to reduce waiting times in the future.</w:t>
      </w:r>
    </w:p>
    <w:p w14:paraId="069CF818" w14:textId="77777777" w:rsidR="00153023" w:rsidRDefault="00153023" w:rsidP="00153023">
      <w:pPr>
        <w:pStyle w:val="ListParagraph"/>
        <w:numPr>
          <w:ilvl w:val="0"/>
          <w:numId w:val="5"/>
        </w:numPr>
      </w:pPr>
      <w:r w:rsidRPr="00153023">
        <w:t>Compressed Timeframes: After the new program’s delayed commencement, there will be less time to implement reforms, scale up services, and address systemic bottlenecks before the July 2027 deadline.</w:t>
      </w:r>
    </w:p>
    <w:p w14:paraId="7EEDCA3C" w14:textId="77777777" w:rsidR="00153023" w:rsidRDefault="00153023" w:rsidP="00153023">
      <w:pPr>
        <w:pStyle w:val="ListParagraph"/>
        <w:numPr>
          <w:ilvl w:val="0"/>
          <w:numId w:val="5"/>
        </w:numPr>
      </w:pPr>
      <w:r w:rsidRPr="00153023">
        <w:t>Resource and Workforce Constraints: Achieving such an ambitious target will require significant investment in the workforce, infrastructure, and service delivery systems—efforts that are hampered by current uncertainties and delays.</w:t>
      </w:r>
    </w:p>
    <w:p w14:paraId="6F0B379E" w14:textId="77777777" w:rsidR="00153023" w:rsidRDefault="00153023" w:rsidP="00153023">
      <w:pPr>
        <w:pStyle w:val="Heading1"/>
      </w:pPr>
      <w:r>
        <w:t>6. Adequacy of Governance, Assurance and Accountability Frameworks for Digital Transformation</w:t>
      </w:r>
    </w:p>
    <w:p w14:paraId="1C9E758E" w14:textId="77777777" w:rsidR="00153023" w:rsidRDefault="00153023" w:rsidP="00153023">
      <w:r w:rsidRPr="00153023">
        <w:t>Effective digital transformation is critical to delivering aged care reforms, including the Support at Home program. The adequacy of governance and accountability arrangements underpinning these projects is thus of paramount importance.</w:t>
      </w:r>
    </w:p>
    <w:p w14:paraId="60E99966" w14:textId="77777777" w:rsidR="00153023" w:rsidRDefault="00153023" w:rsidP="00153023">
      <w:pPr>
        <w:pStyle w:val="ListParagraph"/>
        <w:numPr>
          <w:ilvl w:val="0"/>
          <w:numId w:val="6"/>
        </w:numPr>
      </w:pPr>
      <w:r w:rsidRPr="00153023">
        <w:t>Governance Structures: There is ongoing concern about whether current frameworks provide sufficient oversight and clear lines of accountability for digital transformation initiatives. Delays in program rollout may reflect underlying issues in project management, risk assessment, and stakeholder engagement.</w:t>
      </w:r>
    </w:p>
    <w:p w14:paraId="694C9DD4" w14:textId="77777777" w:rsidR="00153023" w:rsidRDefault="00153023" w:rsidP="00153023">
      <w:pPr>
        <w:pStyle w:val="ListParagraph"/>
        <w:numPr>
          <w:ilvl w:val="0"/>
          <w:numId w:val="6"/>
        </w:numPr>
      </w:pPr>
      <w:r w:rsidRPr="00153023">
        <w:t>Assurance Processes: Assurance mechanisms must be robust enough to identify and address risks early, particularly given the scale and significance of digital reforms in care assessment, coordination, and funding.</w:t>
      </w:r>
    </w:p>
    <w:p w14:paraId="207EC4C6" w14:textId="77777777" w:rsidR="00153023" w:rsidRDefault="00153023" w:rsidP="00153023">
      <w:pPr>
        <w:pStyle w:val="ListParagraph"/>
        <w:numPr>
          <w:ilvl w:val="0"/>
          <w:numId w:val="6"/>
        </w:numPr>
      </w:pPr>
      <w:r w:rsidRPr="00153023">
        <w:t>Transparency: Stakeholder confidence hinges on transparent reporting and responsiveness to emerging issues. Clear communication regarding timelines, milestones, and contingencies is essential.</w:t>
      </w:r>
    </w:p>
    <w:p w14:paraId="0E05CF66" w14:textId="77777777" w:rsidR="00153023" w:rsidRDefault="00153023" w:rsidP="00153023">
      <w:pPr>
        <w:pStyle w:val="Heading1"/>
      </w:pPr>
      <w:r>
        <w:t>7. Implementation of the Single Assessment System and Its Readiness</w:t>
      </w:r>
    </w:p>
    <w:p w14:paraId="712A1BB4" w14:textId="77777777" w:rsidR="00153023" w:rsidRDefault="00153023" w:rsidP="00153023">
      <w:r w:rsidRPr="00153023">
        <w:t>The transition to a single assessment system is central to improving aged care access and ensuring timely, appropriate support for older Australians.</w:t>
      </w:r>
    </w:p>
    <w:p w14:paraId="21A1AF85" w14:textId="77777777" w:rsidR="00153023" w:rsidRDefault="00153023" w:rsidP="00153023">
      <w:pPr>
        <w:pStyle w:val="ListParagraph"/>
        <w:numPr>
          <w:ilvl w:val="0"/>
          <w:numId w:val="7"/>
        </w:numPr>
      </w:pPr>
      <w:r w:rsidRPr="00153023">
        <w:lastRenderedPageBreak/>
        <w:t>Current Readiness: The readiness of the assessment system to handle increased demand and to deliver timely, accurate assessments is critical. Delays to the overarching reform agenda may also slow progress toward full implementation.</w:t>
      </w:r>
    </w:p>
    <w:p w14:paraId="18A8D454" w14:textId="77777777" w:rsidR="00153023" w:rsidRDefault="00153023" w:rsidP="00153023">
      <w:pPr>
        <w:pStyle w:val="ListParagraph"/>
        <w:numPr>
          <w:ilvl w:val="0"/>
          <w:numId w:val="7"/>
        </w:numPr>
      </w:pPr>
      <w:r w:rsidRPr="00153023">
        <w:t>Workforce Training: Assessors and associated staff require comprehensive training and support to adapt to new frameworks and digital tools.</w:t>
      </w:r>
    </w:p>
    <w:p w14:paraId="3685CD8F" w14:textId="77777777" w:rsidR="00153023" w:rsidRDefault="00153023" w:rsidP="00153023">
      <w:pPr>
        <w:pStyle w:val="ListParagraph"/>
        <w:numPr>
          <w:ilvl w:val="0"/>
          <w:numId w:val="7"/>
        </w:numPr>
      </w:pPr>
      <w:r w:rsidRPr="00153023">
        <w:t>Sustained Investment: Ongoing funding is needed to ensure the system is both scalable and flexible to accommodate current and future demand.</w:t>
      </w:r>
    </w:p>
    <w:p w14:paraId="6E8730E9" w14:textId="77777777" w:rsidR="00153023" w:rsidRDefault="00153023" w:rsidP="00153023">
      <w:pPr>
        <w:pStyle w:val="Heading1"/>
      </w:pPr>
      <w:r>
        <w:t>8. Other Related Matters</w:t>
      </w:r>
    </w:p>
    <w:p w14:paraId="57C49E10" w14:textId="77777777" w:rsidR="00153023" w:rsidRDefault="00153023" w:rsidP="00153023">
      <w:pPr>
        <w:pStyle w:val="ListParagraph"/>
        <w:numPr>
          <w:ilvl w:val="0"/>
          <w:numId w:val="8"/>
        </w:numPr>
      </w:pPr>
      <w:r w:rsidRPr="00153023">
        <w:t>Equity and Access: Delays and resource constraints risk exacerbating disparities in access to care, particularly for people in rural, remote, or disadvantaged communities.</w:t>
      </w:r>
    </w:p>
    <w:p w14:paraId="5CE98774" w14:textId="77777777" w:rsidR="00153023" w:rsidRDefault="00153023" w:rsidP="00153023">
      <w:pPr>
        <w:pStyle w:val="ListParagraph"/>
        <w:numPr>
          <w:ilvl w:val="0"/>
          <w:numId w:val="8"/>
        </w:numPr>
      </w:pPr>
      <w:r w:rsidRPr="00153023">
        <w:t>Stakeholder Engagement: Effective reform requires meaningful engagement with consumers, carers, providers, and the workforce. The current uncertainty may erode trust and collaboration.</w:t>
      </w:r>
    </w:p>
    <w:p w14:paraId="3FA2E370" w14:textId="77777777" w:rsidR="00153023" w:rsidRDefault="00153023" w:rsidP="00153023">
      <w:pPr>
        <w:pStyle w:val="ListParagraph"/>
        <w:numPr>
          <w:ilvl w:val="0"/>
          <w:numId w:val="8"/>
        </w:numPr>
      </w:pPr>
      <w:r w:rsidRPr="00153023">
        <w:t>Innovation and Best Practice: The delay offers an opportunity to refine program design and leverage lessons from previous reforms, but risks slowing momentum and discouraging innovation among service providers.</w:t>
      </w:r>
    </w:p>
    <w:p w14:paraId="2CC9093D" w14:textId="77777777" w:rsidR="00153023" w:rsidRDefault="00153023" w:rsidP="00153023">
      <w:pPr>
        <w:pStyle w:val="Heading1"/>
      </w:pPr>
      <w:r>
        <w:t>Conclusion</w:t>
      </w:r>
    </w:p>
    <w:p w14:paraId="4DF9299D" w14:textId="1809031C" w:rsidR="00153023" w:rsidRPr="00153023" w:rsidRDefault="00153023" w:rsidP="00153023">
      <w:r w:rsidRPr="00153023">
        <w:t>The Government’s decision to defer the Support at Home program and withhold new Home Care Packages creates a range of complex and interlocking challenges across Australia’s aged care landscape. It is essential to ensure that robust interim measures are in place to support older Australians and their families, sustain service providers, and protect the broader health system from negative flow-on effects. Ongoing transparency, stakeholder engagement, and targeted investment will be critical to navigating this period of uncertainty and achieving the ambitious reforms envisioned for the sector.</w:t>
      </w:r>
    </w:p>
    <w:p w14:paraId="13163473" w14:textId="77777777" w:rsidR="00AD6526" w:rsidRDefault="00AD6526" w:rsidP="00AD6526">
      <w:r>
        <w:t xml:space="preserve">Submitted by Tasmanian Association of Residents of Retirement Villages Incorporated (TARRV)  </w:t>
      </w:r>
    </w:p>
    <w:p w14:paraId="55E6D593" w14:textId="77777777" w:rsidR="00AD6526" w:rsidRDefault="00AD6526" w:rsidP="00AD6526">
      <w:r>
        <w:t>P.O. Box 156 Kings Meadows</w:t>
      </w:r>
    </w:p>
    <w:p w14:paraId="139C5247" w14:textId="77777777" w:rsidR="00AD6526" w:rsidRDefault="00AD6526" w:rsidP="00AD6526">
      <w:r>
        <w:t>Tasmania 7249</w:t>
      </w:r>
    </w:p>
    <w:p w14:paraId="6F0D3A84" w14:textId="77777777" w:rsidR="00AD6526" w:rsidRDefault="00AD6526" w:rsidP="00AD6526">
      <w:r>
        <w:t>President: Mr Ian Green</w:t>
      </w:r>
    </w:p>
    <w:p w14:paraId="698ADA27" w14:textId="77777777" w:rsidR="00AD6526" w:rsidRDefault="00AD6526" w:rsidP="00AD6526">
      <w:r>
        <w:t>Secretary: Jon Hosford</w:t>
      </w:r>
    </w:p>
    <w:p w14:paraId="0EE00248" w14:textId="77777777" w:rsidR="00AD6526" w:rsidRPr="004F3482" w:rsidRDefault="00AD6526" w:rsidP="00AD6526">
      <w:r w:rsidRPr="00752459">
        <w:rPr>
          <w:b/>
          <w:bCs/>
        </w:rPr>
        <w:t>Email:</w:t>
      </w:r>
      <w:r>
        <w:t xml:space="preserve"> jhosford@bigpond.net.au</w:t>
      </w:r>
    </w:p>
    <w:p w14:paraId="76A60B71" w14:textId="0D7EA128" w:rsidR="00431F28" w:rsidRPr="00153023" w:rsidRDefault="00431F28" w:rsidP="00153023"/>
    <w:sectPr w:rsidR="00431F28" w:rsidRPr="0015302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0456" w14:textId="77777777" w:rsidR="00123B70" w:rsidRDefault="00123B70" w:rsidP="00857A8F">
      <w:pPr>
        <w:spacing w:after="0" w:line="240" w:lineRule="auto"/>
      </w:pPr>
      <w:r>
        <w:separator/>
      </w:r>
    </w:p>
  </w:endnote>
  <w:endnote w:type="continuationSeparator" w:id="0">
    <w:p w14:paraId="7E799C06" w14:textId="77777777" w:rsidR="00123B70" w:rsidRDefault="00123B70" w:rsidP="0085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565632"/>
      <w:docPartObj>
        <w:docPartGallery w:val="Page Numbers (Bottom of Page)"/>
        <w:docPartUnique/>
      </w:docPartObj>
    </w:sdtPr>
    <w:sdtEndPr>
      <w:rPr>
        <w:noProof/>
      </w:rPr>
    </w:sdtEndPr>
    <w:sdtContent>
      <w:p w14:paraId="273970F4" w14:textId="24EA1DF2" w:rsidR="00857A8F" w:rsidRDefault="00857A8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3E7E4A0A" w14:textId="77777777" w:rsidR="00857A8F" w:rsidRDefault="0085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0C31" w14:textId="77777777" w:rsidR="00123B70" w:rsidRDefault="00123B70" w:rsidP="00857A8F">
      <w:pPr>
        <w:spacing w:after="0" w:line="240" w:lineRule="auto"/>
      </w:pPr>
      <w:r>
        <w:separator/>
      </w:r>
    </w:p>
  </w:footnote>
  <w:footnote w:type="continuationSeparator" w:id="0">
    <w:p w14:paraId="43E6328A" w14:textId="77777777" w:rsidR="00123B70" w:rsidRDefault="00123B70" w:rsidP="0085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55B9" w14:textId="1EBB2645" w:rsidR="00857A8F" w:rsidRDefault="00857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3CC"/>
    <w:multiLevelType w:val="hybridMultilevel"/>
    <w:tmpl w:val="B8260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5B37E1"/>
    <w:multiLevelType w:val="hybridMultilevel"/>
    <w:tmpl w:val="E4427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5B0D48"/>
    <w:multiLevelType w:val="hybridMultilevel"/>
    <w:tmpl w:val="62EA2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156988"/>
    <w:multiLevelType w:val="multilevel"/>
    <w:tmpl w:val="95D46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361A9"/>
    <w:multiLevelType w:val="hybridMultilevel"/>
    <w:tmpl w:val="98043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522AA0"/>
    <w:multiLevelType w:val="hybridMultilevel"/>
    <w:tmpl w:val="00587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E040B5"/>
    <w:multiLevelType w:val="hybridMultilevel"/>
    <w:tmpl w:val="66124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AF6066"/>
    <w:multiLevelType w:val="hybridMultilevel"/>
    <w:tmpl w:val="F014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EC7C3D"/>
    <w:multiLevelType w:val="hybridMultilevel"/>
    <w:tmpl w:val="1EF62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098568">
    <w:abstractNumId w:val="5"/>
  </w:num>
  <w:num w:numId="2" w16cid:durableId="147288716">
    <w:abstractNumId w:val="4"/>
  </w:num>
  <w:num w:numId="3" w16cid:durableId="1201550924">
    <w:abstractNumId w:val="6"/>
  </w:num>
  <w:num w:numId="4" w16cid:durableId="1878856311">
    <w:abstractNumId w:val="1"/>
  </w:num>
  <w:num w:numId="5" w16cid:durableId="141822152">
    <w:abstractNumId w:val="0"/>
  </w:num>
  <w:num w:numId="6" w16cid:durableId="535773250">
    <w:abstractNumId w:val="7"/>
  </w:num>
  <w:num w:numId="7" w16cid:durableId="1119302983">
    <w:abstractNumId w:val="2"/>
  </w:num>
  <w:num w:numId="8" w16cid:durableId="987394201">
    <w:abstractNumId w:val="8"/>
  </w:num>
  <w:num w:numId="9" w16cid:durableId="49345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23"/>
    <w:rsid w:val="000E76BB"/>
    <w:rsid w:val="00123B70"/>
    <w:rsid w:val="001411A9"/>
    <w:rsid w:val="00153023"/>
    <w:rsid w:val="00185816"/>
    <w:rsid w:val="00431F28"/>
    <w:rsid w:val="00456F1D"/>
    <w:rsid w:val="005E1628"/>
    <w:rsid w:val="00835DA9"/>
    <w:rsid w:val="00857A8F"/>
    <w:rsid w:val="00AD6526"/>
    <w:rsid w:val="00CB0E8D"/>
    <w:rsid w:val="00E3588C"/>
    <w:rsid w:val="00FF3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B67C"/>
  <w15:chartTrackingRefBased/>
  <w15:docId w15:val="{52E499D2-E743-46B5-A446-9FF916E3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23"/>
    <w:rPr>
      <w:rFonts w:eastAsiaTheme="majorEastAsia" w:cstheme="majorBidi"/>
      <w:color w:val="272727" w:themeColor="text1" w:themeTint="D8"/>
    </w:rPr>
  </w:style>
  <w:style w:type="paragraph" w:styleId="Title">
    <w:name w:val="Title"/>
    <w:basedOn w:val="Normal"/>
    <w:next w:val="Normal"/>
    <w:link w:val="TitleChar"/>
    <w:uiPriority w:val="10"/>
    <w:qFormat/>
    <w:rsid w:val="00153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23"/>
    <w:pPr>
      <w:spacing w:before="160"/>
      <w:jc w:val="center"/>
    </w:pPr>
    <w:rPr>
      <w:i/>
      <w:iCs/>
      <w:color w:val="404040" w:themeColor="text1" w:themeTint="BF"/>
    </w:rPr>
  </w:style>
  <w:style w:type="character" w:customStyle="1" w:styleId="QuoteChar">
    <w:name w:val="Quote Char"/>
    <w:basedOn w:val="DefaultParagraphFont"/>
    <w:link w:val="Quote"/>
    <w:uiPriority w:val="29"/>
    <w:rsid w:val="00153023"/>
    <w:rPr>
      <w:i/>
      <w:iCs/>
      <w:color w:val="404040" w:themeColor="text1" w:themeTint="BF"/>
    </w:rPr>
  </w:style>
  <w:style w:type="paragraph" w:styleId="ListParagraph">
    <w:name w:val="List Paragraph"/>
    <w:basedOn w:val="Normal"/>
    <w:uiPriority w:val="34"/>
    <w:qFormat/>
    <w:rsid w:val="00153023"/>
    <w:pPr>
      <w:ind w:left="720"/>
      <w:contextualSpacing/>
    </w:pPr>
  </w:style>
  <w:style w:type="character" w:styleId="IntenseEmphasis">
    <w:name w:val="Intense Emphasis"/>
    <w:basedOn w:val="DefaultParagraphFont"/>
    <w:uiPriority w:val="21"/>
    <w:qFormat/>
    <w:rsid w:val="00153023"/>
    <w:rPr>
      <w:i/>
      <w:iCs/>
      <w:color w:val="0F4761" w:themeColor="accent1" w:themeShade="BF"/>
    </w:rPr>
  </w:style>
  <w:style w:type="paragraph" w:styleId="IntenseQuote">
    <w:name w:val="Intense Quote"/>
    <w:basedOn w:val="Normal"/>
    <w:next w:val="Normal"/>
    <w:link w:val="IntenseQuoteChar"/>
    <w:uiPriority w:val="30"/>
    <w:qFormat/>
    <w:rsid w:val="00153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23"/>
    <w:rPr>
      <w:i/>
      <w:iCs/>
      <w:color w:val="0F4761" w:themeColor="accent1" w:themeShade="BF"/>
    </w:rPr>
  </w:style>
  <w:style w:type="character" w:styleId="IntenseReference">
    <w:name w:val="Intense Reference"/>
    <w:basedOn w:val="DefaultParagraphFont"/>
    <w:uiPriority w:val="32"/>
    <w:qFormat/>
    <w:rsid w:val="00153023"/>
    <w:rPr>
      <w:b/>
      <w:bCs/>
      <w:smallCaps/>
      <w:color w:val="0F4761" w:themeColor="accent1" w:themeShade="BF"/>
      <w:spacing w:val="5"/>
    </w:rPr>
  </w:style>
  <w:style w:type="paragraph" w:styleId="Header">
    <w:name w:val="header"/>
    <w:basedOn w:val="Normal"/>
    <w:link w:val="HeaderChar"/>
    <w:uiPriority w:val="99"/>
    <w:unhideWhenUsed/>
    <w:rsid w:val="00857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8F"/>
  </w:style>
  <w:style w:type="paragraph" w:styleId="Footer">
    <w:name w:val="footer"/>
    <w:basedOn w:val="Normal"/>
    <w:link w:val="FooterChar"/>
    <w:uiPriority w:val="99"/>
    <w:unhideWhenUsed/>
    <w:rsid w:val="00857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478DC-7982-4F41-B4D5-B876B778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Hosford</dc:creator>
  <cp:keywords/>
  <dc:description/>
  <cp:lastModifiedBy>Jon Hosford</cp:lastModifiedBy>
  <cp:revision>5</cp:revision>
  <dcterms:created xsi:type="dcterms:W3CDTF">2025-08-21T04:58:00Z</dcterms:created>
  <dcterms:modified xsi:type="dcterms:W3CDTF">2025-08-22T00:27:00Z</dcterms:modified>
</cp:coreProperties>
</file>